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Forte"/>
          <w:rFonts w:ascii="Verdana" w:hAnsi="Verdana"/>
          <w:color w:val="000000"/>
          <w:sz w:val="23"/>
          <w:szCs w:val="23"/>
        </w:rPr>
        <w:t>Resumo da vacinação: 20/05/2021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recebidas – 7.448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Aplicadas – 5.045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da Saúde – 392 (1ª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2.783 (1ª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Forças de Segurança – 58 (1ª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proofErr w:type="spellStart"/>
      <w:r>
        <w:rPr>
          <w:rFonts w:ascii="Verdana" w:hAnsi="Verdana"/>
          <w:color w:val="000000"/>
          <w:sz w:val="23"/>
          <w:szCs w:val="23"/>
        </w:rPr>
        <w:t>Comorbidades</w:t>
      </w:r>
      <w:proofErr w:type="spellEnd"/>
      <w:r>
        <w:rPr>
          <w:rFonts w:ascii="Verdana" w:hAnsi="Verdana"/>
          <w:color w:val="000000"/>
          <w:sz w:val="23"/>
          <w:szCs w:val="23"/>
        </w:rPr>
        <w:t xml:space="preserve"> – 221 (1ª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Profissionais em Educação – 149 (1ª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Gestantes e </w:t>
      </w:r>
      <w:proofErr w:type="spellStart"/>
      <w:r>
        <w:rPr>
          <w:rFonts w:ascii="Verdana" w:hAnsi="Verdana"/>
          <w:color w:val="000000"/>
          <w:sz w:val="23"/>
          <w:szCs w:val="23"/>
        </w:rPr>
        <w:t>puérperas</w:t>
      </w:r>
      <w:proofErr w:type="spellEnd"/>
      <w:r>
        <w:rPr>
          <w:rFonts w:ascii="Verdana" w:hAnsi="Verdana"/>
          <w:color w:val="000000"/>
          <w:sz w:val="23"/>
          <w:szCs w:val="23"/>
        </w:rPr>
        <w:t>– 3 (1ª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Deficientes – 33 (1ª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de Saúde – 345 (2ª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1.029 (2ª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População Vacinada – 3.671 (1ª dose) + 1.374 (2ª dose)</w:t>
      </w:r>
    </w:p>
    <w:p w:rsidR="00A963E9" w:rsidRDefault="00A963E9" w:rsidP="00A963E9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Recusa da Vacina – 22</w:t>
      </w:r>
    </w:p>
    <w:p w:rsidR="00D93117" w:rsidRDefault="00D93117"/>
    <w:sectPr w:rsidR="00D93117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3E9"/>
    <w:rsid w:val="00A963E9"/>
    <w:rsid w:val="00D9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63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2021-05-20T15:10:00Z</dcterms:created>
  <dcterms:modified xsi:type="dcterms:W3CDTF">2021-05-20T15:11:00Z</dcterms:modified>
</cp:coreProperties>
</file>